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E7" w:rsidRDefault="0079720B" w:rsidP="0079720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t>Staff Analysis/Recommendation- Albany Place LLC</w:t>
      </w:r>
    </w:p>
    <w:p w:rsidR="0079720B" w:rsidRDefault="0079720B" w:rsidP="0079720B">
      <w:pPr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Review components</w:t>
      </w:r>
    </w:p>
    <w:p w:rsidR="0079720B" w:rsidRDefault="0079720B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Reviewed application for completeness and accuracy</w:t>
      </w:r>
    </w:p>
    <w:p w:rsidR="0079720B" w:rsidRDefault="00487A82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79720B">
        <w:rPr>
          <w:rFonts w:ascii="Bookman Old Style" w:hAnsi="Bookman Old Style"/>
          <w:sz w:val="24"/>
          <w:szCs w:val="24"/>
        </w:rPr>
        <w:t xml:space="preserve">  Assessed compliance with applicable Town code and statute</w:t>
      </w:r>
    </w:p>
    <w:p w:rsidR="0079720B" w:rsidRDefault="0079720B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 Reviewed project’s adherence to guidelines in Comprehensive Plan and applicable neighborhood studies (</w:t>
      </w:r>
      <w:proofErr w:type="spellStart"/>
      <w:r>
        <w:rPr>
          <w:rFonts w:ascii="Bookman Old Style" w:hAnsi="Bookman Old Style"/>
          <w:sz w:val="24"/>
          <w:szCs w:val="24"/>
        </w:rPr>
        <w:t>McKownville</w:t>
      </w:r>
      <w:proofErr w:type="spellEnd"/>
      <w:r>
        <w:rPr>
          <w:rFonts w:ascii="Bookman Old Style" w:hAnsi="Bookman Old Style"/>
          <w:sz w:val="24"/>
          <w:szCs w:val="24"/>
        </w:rPr>
        <w:t xml:space="preserve"> Corridor Study)</w:t>
      </w:r>
    </w:p>
    <w:p w:rsidR="0079720B" w:rsidRDefault="0079720B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 Reviewed the independent economic analysis of project impact prepared by Capital District Regional Planning Commission</w:t>
      </w:r>
    </w:p>
    <w:p w:rsidR="0079720B" w:rsidRDefault="0079720B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Evaluated public record, specifically the transcript of the public hearing on the application and </w:t>
      </w:r>
      <w:r w:rsidR="00706098">
        <w:rPr>
          <w:rFonts w:ascii="Bookman Old Style" w:hAnsi="Bookman Old Style"/>
          <w:sz w:val="24"/>
          <w:szCs w:val="24"/>
        </w:rPr>
        <w:t>comments received from the public</w:t>
      </w:r>
    </w:p>
    <w:p w:rsidR="00706098" w:rsidRDefault="00706098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Reviewed applicant’s stated commitment to local hiring practices</w:t>
      </w:r>
    </w:p>
    <w:p w:rsidR="00522248" w:rsidRDefault="00522248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Reviewed public information, including consumer reviews, of other senior living facilities operated by this applicant</w:t>
      </w:r>
    </w:p>
    <w:p w:rsidR="00487A82" w:rsidRDefault="00522248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Evaluated statewide IDA responses to requests for assistance from senior living projects</w:t>
      </w:r>
    </w:p>
    <w:p w:rsidR="00522248" w:rsidRDefault="00522248" w:rsidP="0079720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Analysis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Application is complete and accurate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complies with applicable Town Code and regulations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Applicant has received necessary approvals from NY State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Project is consistent with recommendations of Guilderland Comprehensive Plan and </w:t>
      </w:r>
      <w:proofErr w:type="spellStart"/>
      <w:r>
        <w:rPr>
          <w:rFonts w:ascii="Bookman Old Style" w:hAnsi="Bookman Old Style"/>
          <w:sz w:val="24"/>
          <w:szCs w:val="24"/>
        </w:rPr>
        <w:t>McKownville</w:t>
      </w:r>
      <w:proofErr w:type="spellEnd"/>
      <w:r>
        <w:rPr>
          <w:rFonts w:ascii="Bookman Old Style" w:hAnsi="Bookman Old Style"/>
          <w:sz w:val="24"/>
          <w:szCs w:val="24"/>
        </w:rPr>
        <w:t xml:space="preserve"> Corridor Study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is public-transit-friendly, with direct access to bus stops on Western Avenue</w:t>
      </w:r>
    </w:p>
    <w:p w:rsidR="00654F0D" w:rsidRDefault="00654F0D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Exterior remodeling and landscaping of the facility will improve the aesthetics of the site along a busy commercial corridor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Applicant is committed to local hiring practices, and past history supports that commitment</w:t>
      </w:r>
    </w:p>
    <w:p w:rsidR="00522248" w:rsidRDefault="00522248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represents an appropriate adaptive re-use of the Best Western Hotel, a facility that is in a declining stage of viability as a hotel property</w:t>
      </w:r>
    </w:p>
    <w:p w:rsidR="00522248" w:rsidRDefault="00654F0D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Project will produce a significant increase in the number of Medicaid-eligible assisted living beds in Albany County and the Capital District</w:t>
      </w:r>
    </w:p>
    <w:p w:rsidR="00654F0D" w:rsidRDefault="00654F0D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Project completion will produce a higher number of jobs than under the existing hotel use, and will include more technical/professional jobs paying higher wages than under hotel use</w:t>
      </w:r>
    </w:p>
    <w:p w:rsidR="00654F0D" w:rsidRDefault="00487A82" w:rsidP="00522248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Approval of the </w:t>
      </w:r>
      <w:r w:rsidR="00654F0D">
        <w:rPr>
          <w:rFonts w:ascii="Bookman Old Style" w:hAnsi="Bookman Old Style"/>
          <w:sz w:val="24"/>
          <w:szCs w:val="24"/>
        </w:rPr>
        <w:t>PILOT</w:t>
      </w:r>
      <w:r>
        <w:rPr>
          <w:rFonts w:ascii="Bookman Old Style" w:hAnsi="Bookman Old Style"/>
          <w:sz w:val="24"/>
          <w:szCs w:val="24"/>
        </w:rPr>
        <w:t xml:space="preserve"> as requested</w:t>
      </w:r>
      <w:r w:rsidR="00654F0D">
        <w:rPr>
          <w:rFonts w:ascii="Bookman Old Style" w:hAnsi="Bookman Old Style"/>
          <w:sz w:val="24"/>
          <w:szCs w:val="24"/>
        </w:rPr>
        <w:t xml:space="preserve"> would </w:t>
      </w:r>
      <w:r w:rsidR="009069FD">
        <w:rPr>
          <w:rFonts w:ascii="Bookman Old Style" w:hAnsi="Bookman Old Style"/>
          <w:sz w:val="24"/>
          <w:szCs w:val="24"/>
        </w:rPr>
        <w:t>flatten property tax receipts from the property for an extended period</w:t>
      </w:r>
    </w:p>
    <w:p w:rsidR="009069FD" w:rsidRDefault="00E938E4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u w:val="single"/>
        </w:rPr>
        <w:t>R</w:t>
      </w:r>
      <w:r w:rsidR="009069FD">
        <w:rPr>
          <w:rFonts w:ascii="Bookman Old Style" w:hAnsi="Bookman Old Style"/>
          <w:sz w:val="24"/>
          <w:szCs w:val="24"/>
          <w:u w:val="single"/>
        </w:rPr>
        <w:t>ecommendation</w:t>
      </w:r>
    </w:p>
    <w:p w:rsidR="0025291A" w:rsidRDefault="009069FD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Successful completion of the Albany Place project would provide a meaningful benefit to Guilderland and the Capital District. It would stabilize and enhance a large and slightly deteriorating commercial site in a densely-developed area of Guilderland in a manner consistent with both the Comprehensive Plan and the </w:t>
      </w:r>
      <w:proofErr w:type="spellStart"/>
      <w:r>
        <w:rPr>
          <w:rFonts w:ascii="Bookman Old Style" w:hAnsi="Bookman Old Style"/>
          <w:sz w:val="24"/>
          <w:szCs w:val="24"/>
        </w:rPr>
        <w:t>McKownville</w:t>
      </w:r>
      <w:proofErr w:type="spellEnd"/>
      <w:r>
        <w:rPr>
          <w:rFonts w:ascii="Bookman Old Style" w:hAnsi="Bookman Old Style"/>
          <w:sz w:val="24"/>
          <w:szCs w:val="24"/>
        </w:rPr>
        <w:t xml:space="preserve"> Corridor Study. The addition of a large number of Medicaid-eligible assisted living beds is a major benefit for Albany County and beyond, as such beds are a useful addition to the area’s mix of </w:t>
      </w:r>
      <w:r w:rsidR="00E938E4">
        <w:rPr>
          <w:rFonts w:ascii="Bookman Old Style" w:hAnsi="Bookman Old Style"/>
          <w:sz w:val="24"/>
          <w:szCs w:val="24"/>
        </w:rPr>
        <w:t xml:space="preserve">affordable </w:t>
      </w:r>
      <w:r>
        <w:rPr>
          <w:rFonts w:ascii="Bookman Old Style" w:hAnsi="Bookman Old Style"/>
          <w:sz w:val="24"/>
          <w:szCs w:val="24"/>
        </w:rPr>
        <w:t xml:space="preserve">senior housing options. </w:t>
      </w:r>
      <w:r w:rsidR="0025291A">
        <w:rPr>
          <w:rFonts w:ascii="Bookman Old Style" w:hAnsi="Bookman Old Style"/>
          <w:sz w:val="24"/>
          <w:szCs w:val="24"/>
        </w:rPr>
        <w:t>Job opportunities at this location will increase in both number and salary levels upon completion of the project.</w:t>
      </w:r>
      <w:r w:rsidR="00487A82">
        <w:rPr>
          <w:rFonts w:ascii="Bookman Old Style" w:hAnsi="Bookman Old Style"/>
          <w:sz w:val="24"/>
          <w:szCs w:val="24"/>
        </w:rPr>
        <w:t xml:space="preserve"> </w:t>
      </w:r>
      <w:r w:rsidR="00A2782C">
        <w:rPr>
          <w:rFonts w:ascii="Bookman Old Style" w:hAnsi="Bookman Old Style"/>
          <w:sz w:val="24"/>
          <w:szCs w:val="24"/>
        </w:rPr>
        <w:t>However,</w:t>
      </w:r>
      <w:r w:rsidR="0025291A">
        <w:rPr>
          <w:rFonts w:ascii="Bookman Old Style" w:hAnsi="Bookman Old Style"/>
          <w:sz w:val="24"/>
          <w:szCs w:val="24"/>
        </w:rPr>
        <w:t xml:space="preserve"> the increase in the number and wage levels of jobs at the location, while meaningful, is not </w:t>
      </w:r>
      <w:r w:rsidR="00A2782C">
        <w:rPr>
          <w:rFonts w:ascii="Bookman Old Style" w:hAnsi="Bookman Old Style"/>
          <w:sz w:val="24"/>
          <w:szCs w:val="24"/>
        </w:rPr>
        <w:t xml:space="preserve">particularly </w:t>
      </w:r>
      <w:r w:rsidR="0025291A">
        <w:rPr>
          <w:rFonts w:ascii="Bookman Old Style" w:hAnsi="Bookman Old Style"/>
          <w:sz w:val="24"/>
          <w:szCs w:val="24"/>
        </w:rPr>
        <w:t>significant at the “head of household” level.</w:t>
      </w:r>
    </w:p>
    <w:p w:rsidR="00453CB5" w:rsidRDefault="00E14F6D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factors </w:t>
      </w:r>
      <w:r w:rsidR="0025291A">
        <w:rPr>
          <w:rFonts w:ascii="Bookman Old Style" w:hAnsi="Bookman Old Style"/>
          <w:sz w:val="24"/>
          <w:szCs w:val="24"/>
        </w:rPr>
        <w:t>discussed here indicate that the project merits support in the form of sales and mortgage</w:t>
      </w:r>
      <w:r w:rsidR="00AC7FB2">
        <w:rPr>
          <w:rFonts w:ascii="Bookman Old Style" w:hAnsi="Bookman Old Style"/>
          <w:sz w:val="24"/>
          <w:szCs w:val="24"/>
        </w:rPr>
        <w:t xml:space="preserve"> tax relief, </w:t>
      </w:r>
      <w:r w:rsidR="0025291A">
        <w:rPr>
          <w:rFonts w:ascii="Bookman Old Style" w:hAnsi="Bookman Old Style"/>
          <w:sz w:val="24"/>
          <w:szCs w:val="24"/>
        </w:rPr>
        <w:t xml:space="preserve">as well as in approval of a bond transaction, which </w:t>
      </w:r>
      <w:r>
        <w:rPr>
          <w:rFonts w:ascii="Bookman Old Style" w:hAnsi="Bookman Old Style"/>
          <w:sz w:val="24"/>
          <w:szCs w:val="24"/>
        </w:rPr>
        <w:t>a</w:t>
      </w:r>
      <w:r w:rsidR="0025291A">
        <w:rPr>
          <w:rFonts w:ascii="Bookman Old Style" w:hAnsi="Bookman Old Style"/>
          <w:sz w:val="24"/>
          <w:szCs w:val="24"/>
        </w:rPr>
        <w:t xml:space="preserve">ffords </w:t>
      </w:r>
      <w:r w:rsidR="00AC7FB2">
        <w:rPr>
          <w:rFonts w:ascii="Bookman Old Style" w:hAnsi="Bookman Old Style"/>
          <w:sz w:val="24"/>
          <w:szCs w:val="24"/>
        </w:rPr>
        <w:t>a very significant</w:t>
      </w:r>
      <w:r w:rsidR="0025291A">
        <w:rPr>
          <w:rFonts w:ascii="Bookman Old Style" w:hAnsi="Bookman Old Style"/>
          <w:sz w:val="24"/>
          <w:szCs w:val="24"/>
        </w:rPr>
        <w:t xml:space="preserve"> financial benefit to the applicant. </w:t>
      </w:r>
      <w:r w:rsidR="00AC7FB2">
        <w:rPr>
          <w:rFonts w:ascii="Bookman Old Style" w:hAnsi="Bookman Old Style"/>
          <w:sz w:val="24"/>
          <w:szCs w:val="24"/>
        </w:rPr>
        <w:t>T</w:t>
      </w:r>
      <w:r w:rsidR="00453CB5">
        <w:rPr>
          <w:rFonts w:ascii="Bookman Old Style" w:hAnsi="Bookman Old Style"/>
          <w:sz w:val="24"/>
          <w:szCs w:val="24"/>
        </w:rPr>
        <w:t>he interest savings for the applicant through the use of a bond vs. a loan transaction, based on estimated current 30-year loan and bond rates of 8.125% and 6.50%, amount to some $11.9 million over the 30-year life of the transaction.</w:t>
      </w:r>
    </w:p>
    <w:p w:rsidR="0025291A" w:rsidRDefault="0025291A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The benefits provided by the project are more regional than local in nature with respect to the Medicaid-eligible beds, which cannot be guaranteed to Guilderland residents. </w:t>
      </w:r>
      <w:r w:rsidR="00A2782C">
        <w:rPr>
          <w:rFonts w:ascii="Bookman Old Style" w:hAnsi="Bookman Old Style"/>
          <w:sz w:val="24"/>
          <w:szCs w:val="24"/>
        </w:rPr>
        <w:t>T</w:t>
      </w:r>
      <w:r>
        <w:rPr>
          <w:rFonts w:ascii="Bookman Old Style" w:hAnsi="Bookman Old Style"/>
          <w:sz w:val="24"/>
          <w:szCs w:val="24"/>
        </w:rPr>
        <w:t xml:space="preserve">he project </w:t>
      </w:r>
      <w:r w:rsidR="00A2782C">
        <w:rPr>
          <w:rFonts w:ascii="Bookman Old Style" w:hAnsi="Bookman Old Style"/>
          <w:sz w:val="24"/>
          <w:szCs w:val="24"/>
        </w:rPr>
        <w:t xml:space="preserve">therefore </w:t>
      </w:r>
      <w:r>
        <w:rPr>
          <w:rFonts w:ascii="Bookman Old Style" w:hAnsi="Bookman Old Style"/>
          <w:sz w:val="24"/>
          <w:szCs w:val="24"/>
        </w:rPr>
        <w:t xml:space="preserve">does not appear to merit approval of </w:t>
      </w:r>
      <w:r w:rsidR="00A2782C">
        <w:rPr>
          <w:rFonts w:ascii="Bookman Old Style" w:hAnsi="Bookman Old Style"/>
          <w:sz w:val="24"/>
          <w:szCs w:val="24"/>
        </w:rPr>
        <w:t>the</w:t>
      </w:r>
      <w:r>
        <w:rPr>
          <w:rFonts w:ascii="Bookman Old Style" w:hAnsi="Bookman Old Style"/>
          <w:sz w:val="24"/>
          <w:szCs w:val="24"/>
        </w:rPr>
        <w:t xml:space="preserve"> PILOT</w:t>
      </w:r>
      <w:r w:rsidR="00A2782C">
        <w:rPr>
          <w:rFonts w:ascii="Bookman Old Style" w:hAnsi="Bookman Old Style"/>
          <w:sz w:val="24"/>
          <w:szCs w:val="24"/>
        </w:rPr>
        <w:t xml:space="preserve"> agreement as requested by the applicant</w:t>
      </w:r>
      <w:r>
        <w:rPr>
          <w:rFonts w:ascii="Bookman Old Style" w:hAnsi="Bookman Old Style"/>
          <w:sz w:val="24"/>
          <w:szCs w:val="24"/>
        </w:rPr>
        <w:t>.</w:t>
      </w:r>
      <w:r w:rsidR="00CD5C55">
        <w:rPr>
          <w:rFonts w:ascii="Bookman Old Style" w:hAnsi="Bookman Old Style"/>
          <w:sz w:val="24"/>
          <w:szCs w:val="24"/>
        </w:rPr>
        <w:t xml:space="preserve"> However, the major beneficial impact for the wider community represented by the creation of a significant number of assisted living beds for lower-income senior citizens in Guilderland</w:t>
      </w:r>
      <w:r w:rsidR="00E938E4">
        <w:rPr>
          <w:rFonts w:ascii="Bookman Old Style" w:hAnsi="Bookman Old Style"/>
          <w:sz w:val="24"/>
          <w:szCs w:val="24"/>
        </w:rPr>
        <w:t xml:space="preserve"> and beyond</w:t>
      </w:r>
      <w:r w:rsidR="00CD5C55">
        <w:rPr>
          <w:rFonts w:ascii="Bookman Old Style" w:hAnsi="Bookman Old Style"/>
          <w:sz w:val="24"/>
          <w:szCs w:val="24"/>
        </w:rPr>
        <w:t xml:space="preserve"> merits consideration, based on community benefit rather than purely economic reasons, for a PILOT agreement structured in accordance with the established </w:t>
      </w:r>
      <w:r w:rsidR="00E938E4">
        <w:rPr>
          <w:rFonts w:ascii="Bookman Old Style" w:hAnsi="Bookman Old Style"/>
          <w:sz w:val="24"/>
          <w:szCs w:val="24"/>
        </w:rPr>
        <w:t>policies of the Guilderland IDA, which provide for a 50% reduction in tax payments for the first 5 years of the PILOT, declining by 10% per year after, until  being fully exhausted in the 10</w:t>
      </w:r>
      <w:r w:rsidR="00E938E4" w:rsidRPr="00E938E4">
        <w:rPr>
          <w:rFonts w:ascii="Bookman Old Style" w:hAnsi="Bookman Old Style"/>
          <w:sz w:val="24"/>
          <w:szCs w:val="24"/>
          <w:vertAlign w:val="superscript"/>
        </w:rPr>
        <w:t>th</w:t>
      </w:r>
      <w:r w:rsidR="00E938E4">
        <w:rPr>
          <w:rFonts w:ascii="Bookman Old Style" w:hAnsi="Bookman Old Style"/>
          <w:sz w:val="24"/>
          <w:szCs w:val="24"/>
        </w:rPr>
        <w:t xml:space="preserve"> year of the PILOT agreement.</w:t>
      </w:r>
      <w:r w:rsidR="00E14F6D">
        <w:rPr>
          <w:rFonts w:ascii="Bookman Old Style" w:hAnsi="Bookman Old Style"/>
          <w:sz w:val="24"/>
          <w:szCs w:val="24"/>
        </w:rPr>
        <w:t xml:space="preserve"> It should also be noted that Guilderland provided a PILOT on for lower-income senior housing at Omni Senior Living Facility, although that PILOT was not connected with an IDA transaction.</w:t>
      </w:r>
    </w:p>
    <w:p w:rsidR="00CD5C55" w:rsidRDefault="00BD73D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The staff rec</w:t>
      </w:r>
      <w:r w:rsidR="0025291A">
        <w:rPr>
          <w:rFonts w:ascii="Bookman Old Style" w:hAnsi="Bookman Old Style"/>
          <w:sz w:val="24"/>
          <w:szCs w:val="24"/>
        </w:rPr>
        <w:t>om</w:t>
      </w:r>
      <w:r>
        <w:rPr>
          <w:rFonts w:ascii="Bookman Old Style" w:hAnsi="Bookman Old Style"/>
          <w:sz w:val="24"/>
          <w:szCs w:val="24"/>
        </w:rPr>
        <w:t>mendation</w:t>
      </w:r>
      <w:r w:rsidR="00E938E4">
        <w:rPr>
          <w:rFonts w:ascii="Bookman Old Style" w:hAnsi="Bookman Old Style"/>
          <w:sz w:val="24"/>
          <w:szCs w:val="24"/>
        </w:rPr>
        <w:t>, based on all factors considered,</w:t>
      </w:r>
      <w:r w:rsidR="0025291A">
        <w:rPr>
          <w:rFonts w:ascii="Bookman Old Style" w:hAnsi="Bookman Old Style"/>
          <w:sz w:val="24"/>
          <w:szCs w:val="24"/>
        </w:rPr>
        <w:t xml:space="preserve"> is:</w:t>
      </w:r>
    </w:p>
    <w:p w:rsidR="00CD5C55" w:rsidRDefault="00CD5C5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proofErr w:type="gramStart"/>
      <w:r w:rsidR="00BD73D5">
        <w:rPr>
          <w:rFonts w:ascii="Bookman Old Style" w:hAnsi="Bookman Old Style"/>
          <w:sz w:val="24"/>
          <w:szCs w:val="24"/>
        </w:rPr>
        <w:t>approval</w:t>
      </w:r>
      <w:proofErr w:type="gramEnd"/>
      <w:r w:rsidR="00BD73D5">
        <w:rPr>
          <w:rFonts w:ascii="Bookman Old Style" w:hAnsi="Bookman Old Style"/>
          <w:sz w:val="24"/>
          <w:szCs w:val="24"/>
        </w:rPr>
        <w:t xml:space="preserve"> of </w:t>
      </w:r>
      <w:r w:rsidR="00A2782C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bond transaction</w:t>
      </w:r>
    </w:p>
    <w:p w:rsidR="00CD5C55" w:rsidRDefault="00CD5C5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BD73D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BD73D5">
        <w:rPr>
          <w:rFonts w:ascii="Bookman Old Style" w:hAnsi="Bookman Old Style"/>
          <w:sz w:val="24"/>
          <w:szCs w:val="24"/>
        </w:rPr>
        <w:t>approval</w:t>
      </w:r>
      <w:proofErr w:type="gramEnd"/>
      <w:r w:rsidR="00BD73D5">
        <w:rPr>
          <w:rFonts w:ascii="Bookman Old Style" w:hAnsi="Bookman Old Style"/>
          <w:sz w:val="24"/>
          <w:szCs w:val="24"/>
        </w:rPr>
        <w:t xml:space="preserve"> of </w:t>
      </w:r>
      <w:r w:rsidR="00A2782C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sales tax waiver</w:t>
      </w:r>
    </w:p>
    <w:p w:rsidR="00CD5C55" w:rsidRDefault="00CD5C5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BD73D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BD73D5">
        <w:rPr>
          <w:rFonts w:ascii="Bookman Old Style" w:hAnsi="Bookman Old Style"/>
          <w:sz w:val="24"/>
          <w:szCs w:val="24"/>
        </w:rPr>
        <w:t>approval</w:t>
      </w:r>
      <w:proofErr w:type="gramEnd"/>
      <w:r w:rsidR="00BD73D5">
        <w:rPr>
          <w:rFonts w:ascii="Bookman Old Style" w:hAnsi="Bookman Old Style"/>
          <w:sz w:val="24"/>
          <w:szCs w:val="24"/>
        </w:rPr>
        <w:t xml:space="preserve"> of </w:t>
      </w:r>
      <w:r w:rsidR="00A2782C">
        <w:rPr>
          <w:rFonts w:ascii="Bookman Old Style" w:hAnsi="Bookman Old Style"/>
          <w:sz w:val="24"/>
          <w:szCs w:val="24"/>
        </w:rPr>
        <w:t xml:space="preserve">a </w:t>
      </w:r>
      <w:r>
        <w:rPr>
          <w:rFonts w:ascii="Bookman Old Style" w:hAnsi="Bookman Old Style"/>
          <w:sz w:val="24"/>
          <w:szCs w:val="24"/>
        </w:rPr>
        <w:t>mortgage tax waiver</w:t>
      </w:r>
    </w:p>
    <w:p w:rsidR="00B95744" w:rsidRDefault="00CD5C5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approval </w:t>
      </w:r>
      <w:r w:rsidR="00BD73D5">
        <w:rPr>
          <w:rFonts w:ascii="Bookman Old Style" w:hAnsi="Bookman Old Style"/>
          <w:sz w:val="24"/>
          <w:szCs w:val="24"/>
        </w:rPr>
        <w:t>of PILOT request</w:t>
      </w:r>
      <w:r>
        <w:rPr>
          <w:rFonts w:ascii="Bookman Old Style" w:hAnsi="Bookman Old Style"/>
          <w:sz w:val="24"/>
          <w:szCs w:val="24"/>
        </w:rPr>
        <w:t xml:space="preserve"> based on IDA policy (50% reduction in payments for 5 years, then a 10% annual reduction until reaching 0% in the 10</w:t>
      </w:r>
      <w:r w:rsidRPr="00CD5C55">
        <w:rPr>
          <w:rFonts w:ascii="Bookman Old Style" w:hAnsi="Bookman Old Style"/>
          <w:sz w:val="24"/>
          <w:szCs w:val="24"/>
          <w:vertAlign w:val="superscript"/>
        </w:rPr>
        <w:t>th</w:t>
      </w:r>
      <w:r>
        <w:rPr>
          <w:rFonts w:ascii="Bookman Old Style" w:hAnsi="Bookman Old Style"/>
          <w:sz w:val="24"/>
          <w:szCs w:val="24"/>
        </w:rPr>
        <w:t xml:space="preserve"> year)</w:t>
      </w:r>
      <w:r w:rsidR="00BD73D5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 xml:space="preserve"> However, in order to prevent revenue losses to local taxing authorities, it is recommended that a floor be set on payments to be received under the PILOT, with the floor </w:t>
      </w:r>
      <w:r w:rsidR="00E938E4">
        <w:rPr>
          <w:rFonts w:ascii="Bookman Old Style" w:hAnsi="Bookman Old Style"/>
          <w:sz w:val="24"/>
          <w:szCs w:val="24"/>
        </w:rPr>
        <w:t>established</w:t>
      </w:r>
      <w:r>
        <w:rPr>
          <w:rFonts w:ascii="Bookman Old Style" w:hAnsi="Bookman Old Style"/>
          <w:sz w:val="24"/>
          <w:szCs w:val="24"/>
        </w:rPr>
        <w:t xml:space="preserve"> at </w:t>
      </w:r>
      <w:r w:rsidR="00B95744">
        <w:rPr>
          <w:rFonts w:ascii="Bookman Old Style" w:hAnsi="Bookman Old Style"/>
          <w:sz w:val="24"/>
          <w:szCs w:val="24"/>
        </w:rPr>
        <w:t xml:space="preserve">the amounts paid in the tax cycles </w:t>
      </w:r>
      <w:r w:rsidR="00807484">
        <w:rPr>
          <w:rFonts w:ascii="Bookman Old Style" w:hAnsi="Bookman Old Style"/>
          <w:sz w:val="24"/>
          <w:szCs w:val="24"/>
        </w:rPr>
        <w:t xml:space="preserve">immediately </w:t>
      </w:r>
      <w:r w:rsidR="00B95744">
        <w:rPr>
          <w:rFonts w:ascii="Bookman Old Style" w:hAnsi="Bookman Old Style"/>
          <w:sz w:val="24"/>
          <w:szCs w:val="24"/>
        </w:rPr>
        <w:t>prior to the execution of the PILOT agreement (currently app. $125K).</w:t>
      </w:r>
    </w:p>
    <w:p w:rsidR="0025291A" w:rsidRDefault="00B95744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g</w:t>
      </w:r>
      <w:r w:rsidR="00BD73D5">
        <w:rPr>
          <w:rFonts w:ascii="Bookman Old Style" w:hAnsi="Bookman Old Style"/>
          <w:sz w:val="24"/>
          <w:szCs w:val="24"/>
        </w:rPr>
        <w:t>iven the additional administrative burden of project monitoring over the 30-year life of the bond,</w:t>
      </w:r>
      <w:r>
        <w:rPr>
          <w:rFonts w:ascii="Bookman Old Style" w:hAnsi="Bookman Old Style"/>
          <w:sz w:val="24"/>
          <w:szCs w:val="24"/>
        </w:rPr>
        <w:t xml:space="preserve"> as well as the 10-year life of the PILOT agreement, </w:t>
      </w:r>
      <w:r w:rsidR="00BD73D5">
        <w:rPr>
          <w:rFonts w:ascii="Bookman Old Style" w:hAnsi="Bookman Old Style"/>
          <w:sz w:val="24"/>
          <w:szCs w:val="24"/>
        </w:rPr>
        <w:t>staff also recommends that an</w:t>
      </w:r>
      <w:r w:rsidR="00807484">
        <w:rPr>
          <w:rFonts w:ascii="Bookman Old Style" w:hAnsi="Bookman Old Style"/>
          <w:sz w:val="24"/>
          <w:szCs w:val="24"/>
        </w:rPr>
        <w:t xml:space="preserve"> annual</w:t>
      </w:r>
      <w:r w:rsidR="00BD73D5">
        <w:rPr>
          <w:rFonts w:ascii="Bookman Old Style" w:hAnsi="Bookman Old Style"/>
          <w:sz w:val="24"/>
          <w:szCs w:val="24"/>
        </w:rPr>
        <w:t xml:space="preserve"> administrative fee of 0.</w:t>
      </w:r>
      <w:r w:rsidR="00807484">
        <w:rPr>
          <w:rFonts w:ascii="Bookman Old Style" w:hAnsi="Bookman Old Style"/>
          <w:sz w:val="24"/>
          <w:szCs w:val="24"/>
        </w:rPr>
        <w:t>03</w:t>
      </w:r>
      <w:r w:rsidR="00BD73D5">
        <w:rPr>
          <w:rFonts w:ascii="Bookman Old Style" w:hAnsi="Bookman Old Style"/>
          <w:sz w:val="24"/>
          <w:szCs w:val="24"/>
        </w:rPr>
        <w:t>% of the ini</w:t>
      </w:r>
      <w:r w:rsidR="00807484">
        <w:rPr>
          <w:rFonts w:ascii="Bookman Old Style" w:hAnsi="Bookman Old Style"/>
          <w:sz w:val="24"/>
          <w:szCs w:val="24"/>
        </w:rPr>
        <w:t>tial bond amount (app. $9,000) be assessed during each year that the PILOT is in effect, and that an annual administrative fee of 0.02% of the initial bond amount (app. $6,000) be assessed during each year of the remaining term of the bond.</w:t>
      </w:r>
      <w:r w:rsidR="00BD73D5">
        <w:rPr>
          <w:rFonts w:ascii="Bookman Old Style" w:hAnsi="Bookman Old Style"/>
          <w:sz w:val="24"/>
          <w:szCs w:val="24"/>
        </w:rPr>
        <w:t>.</w:t>
      </w:r>
    </w:p>
    <w:p w:rsidR="00BD73D5" w:rsidRDefault="00BD73D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Prepared by: Donald </w:t>
      </w:r>
      <w:proofErr w:type="spellStart"/>
      <w:r>
        <w:rPr>
          <w:rFonts w:ascii="Bookman Old Style" w:hAnsi="Bookman Old Style"/>
          <w:sz w:val="24"/>
          <w:szCs w:val="24"/>
        </w:rPr>
        <w:t>Csaposs</w:t>
      </w:r>
      <w:proofErr w:type="spellEnd"/>
    </w:p>
    <w:p w:rsidR="00EE5BD5" w:rsidRDefault="00EE5BD5" w:rsidP="009069F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July 20, 2017</w:t>
      </w:r>
    </w:p>
    <w:p w:rsidR="00BD73D5" w:rsidRDefault="00BD73D5" w:rsidP="009069FD">
      <w:pPr>
        <w:rPr>
          <w:rFonts w:ascii="Bookman Old Style" w:hAnsi="Bookman Old Style"/>
          <w:sz w:val="24"/>
          <w:szCs w:val="24"/>
        </w:rPr>
      </w:pPr>
    </w:p>
    <w:p w:rsidR="0025291A" w:rsidRPr="009069FD" w:rsidRDefault="0025291A" w:rsidP="009069FD">
      <w:pPr>
        <w:rPr>
          <w:rFonts w:ascii="Bookman Old Style" w:hAnsi="Bookman Old Style"/>
          <w:sz w:val="24"/>
          <w:szCs w:val="24"/>
        </w:rPr>
      </w:pPr>
    </w:p>
    <w:sectPr w:rsidR="0025291A" w:rsidRPr="009069FD" w:rsidSect="00DE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25424"/>
    <w:multiLevelType w:val="hybridMultilevel"/>
    <w:tmpl w:val="76FAC850"/>
    <w:lvl w:ilvl="0" w:tplc="22EC17C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0B"/>
    <w:rsid w:val="00096F66"/>
    <w:rsid w:val="0025291A"/>
    <w:rsid w:val="00344140"/>
    <w:rsid w:val="00453CB5"/>
    <w:rsid w:val="00487A82"/>
    <w:rsid w:val="00522248"/>
    <w:rsid w:val="00654F0D"/>
    <w:rsid w:val="00706098"/>
    <w:rsid w:val="0079720B"/>
    <w:rsid w:val="00807484"/>
    <w:rsid w:val="00855A50"/>
    <w:rsid w:val="009069FD"/>
    <w:rsid w:val="00A2782C"/>
    <w:rsid w:val="00AC7FB2"/>
    <w:rsid w:val="00B95744"/>
    <w:rsid w:val="00BA2264"/>
    <w:rsid w:val="00BD73D5"/>
    <w:rsid w:val="00CD5C55"/>
    <w:rsid w:val="00DE75E7"/>
    <w:rsid w:val="00E14F6D"/>
    <w:rsid w:val="00E87F7C"/>
    <w:rsid w:val="00E938E4"/>
    <w:rsid w:val="00EE5BD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0EDB5-EB6C-CD4C-B1CC-6EE8A0883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4676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csapossd</dc:creator>
  <cp:lastModifiedBy>Linda Cure</cp:lastModifiedBy>
  <cp:revision>2</cp:revision>
  <cp:lastPrinted>2017-07-20T19:50:00Z</cp:lastPrinted>
  <dcterms:created xsi:type="dcterms:W3CDTF">2017-07-20T19:50:00Z</dcterms:created>
  <dcterms:modified xsi:type="dcterms:W3CDTF">2017-07-20T19:50:00Z</dcterms:modified>
</cp:coreProperties>
</file>